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июля 2025 года </w:t>
        <w:tab/>
        <w:tab/>
        <w:tab/>
        <w:tab/>
        <w:tab/>
        <w:tab/>
        <w:tab/>
        <w:t xml:space="preserve">          №  8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1063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Федирко Юлии Олеговны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трехмандатному избирательному округу № </w:t>
      </w:r>
      <w:r>
        <w:rPr>
          <w:b/>
          <w:color w:val="000000"/>
          <w:sz w:val="28"/>
          <w:szCs w:val="28"/>
        </w:rPr>
        <w:t>5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Федирко Юлии Олеговны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 xml:space="preserve"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Федирко Юлию Олеговну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2001</w:t>
      </w:r>
      <w:r>
        <w:rPr>
          <w:color w:val="000000"/>
          <w:sz w:val="28"/>
          <w:szCs w:val="28"/>
        </w:rPr>
        <w:t xml:space="preserve"> года рождения, работающую в </w:t>
      </w:r>
      <w:r>
        <w:rPr>
          <w:color w:val="000000"/>
          <w:sz w:val="28"/>
          <w:szCs w:val="28"/>
        </w:rPr>
        <w:t>администрации Маламинского сельского поселения</w:t>
      </w:r>
      <w:r>
        <w:rPr>
          <w:color w:val="000000"/>
          <w:sz w:val="28"/>
          <w:szCs w:val="28"/>
        </w:rPr>
        <w:t xml:space="preserve"> муниципального образования Успенский район, </w:t>
      </w:r>
      <w:r>
        <w:rPr>
          <w:color w:val="000000"/>
          <w:sz w:val="28"/>
          <w:szCs w:val="28"/>
        </w:rPr>
        <w:t>инспектором военно-учетного стола</w:t>
      </w:r>
      <w:r>
        <w:rPr>
          <w:color w:val="000000"/>
          <w:sz w:val="28"/>
          <w:szCs w:val="28"/>
        </w:rPr>
        <w:t xml:space="preserve">, выдвинутую Краснодарским региональным отделением Политической партии ЛДПР - «Либерально демократической партией России»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30 июля</w:t>
      </w:r>
      <w:r>
        <w:rPr>
          <w:color w:val="000000"/>
          <w:sz w:val="28"/>
          <w:szCs w:val="28"/>
        </w:rPr>
        <w:t xml:space="preserve"> 2025 года в  «</w:t>
      </w:r>
      <w:r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Федирко Юлии Олеговне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LibreOffice/7.3.7.2$Linux_X86_64 LibreOffice_project/30$Build-2</Application>
  <AppVersion>15.0000</AppVersion>
  <Pages>2</Pages>
  <Words>260</Words>
  <Characters>1889</Characters>
  <CharactersWithSpaces>2289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2025-07-24T18:48:19Z</cp:lastPrinted>
  <dcterms:modified xsi:type="dcterms:W3CDTF">2025-08-03T10:38:12Z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